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632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Style w:val="cat-Dategrp-7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Владимира Васильевича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являющегося генеральным директором ООО «торгово-строительная компания»,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9rplc-1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4rplc-16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г. </w:t>
      </w:r>
      <w:r>
        <w:rPr>
          <w:rStyle w:val="cat-UserDefinedgrp-37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>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водителем транспортного средства </w:t>
      </w:r>
      <w:r>
        <w:rPr>
          <w:rStyle w:val="cat-UserDefinedgrp-38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7rplc-22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если такие действия (бездействия) не содержат уголовно наказуемого деяния, чем нарушил п. 2.3.2 ПДД РФ.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Данное обстоятельство послужило основанием для составления в отношении него </w:t>
      </w:r>
      <w:r>
        <w:rPr>
          <w:rStyle w:val="cat-Dategrp-9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протокола 86 ХМ </w:t>
      </w:r>
      <w:r>
        <w:rPr>
          <w:rFonts w:ascii="Times New Roman" w:eastAsia="Times New Roman" w:hAnsi="Times New Roman" w:cs="Times New Roman"/>
          <w:sz w:val="27"/>
          <w:szCs w:val="27"/>
        </w:rPr>
        <w:t>708960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по ч. 1 ст. 12.26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присутствовал, </w:t>
      </w:r>
      <w:r>
        <w:rPr>
          <w:rFonts w:ascii="Times New Roman" w:eastAsia="Times New Roman" w:hAnsi="Times New Roman" w:cs="Times New Roman"/>
          <w:sz w:val="27"/>
          <w:szCs w:val="27"/>
        </w:rPr>
        <w:t>в письменном ходатайстве просил рассмотреть дело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Ввиду того, что в деле участвует защитник </w:t>
      </w:r>
      <w:r>
        <w:rPr>
          <w:rFonts w:ascii="Times New Roman" w:eastAsia="Times New Roman" w:hAnsi="Times New Roman" w:cs="Times New Roman"/>
          <w:sz w:val="27"/>
          <w:szCs w:val="27"/>
        </w:rPr>
        <w:t>Шеметов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который представляет интересы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 основании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ордера № 790 от </w:t>
      </w:r>
      <w:r>
        <w:rPr>
          <w:rStyle w:val="cat-Dategrp-10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5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25.5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наделен аналогичными правами, как и само лицо, привлекаемое к административной ответственности, мировой судья считает возможным рассмотреть дело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отсутствие, с участием защитника </w:t>
      </w:r>
      <w:r>
        <w:rPr>
          <w:rFonts w:ascii="Times New Roman" w:eastAsia="Times New Roman" w:hAnsi="Times New Roman" w:cs="Times New Roman"/>
          <w:sz w:val="27"/>
          <w:szCs w:val="27"/>
        </w:rPr>
        <w:t>Шеметова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защитник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– </w:t>
      </w:r>
      <w:r>
        <w:rPr>
          <w:rFonts w:ascii="Times New Roman" w:eastAsia="Times New Roman" w:hAnsi="Times New Roman" w:cs="Times New Roman"/>
          <w:sz w:val="27"/>
          <w:szCs w:val="27"/>
        </w:rPr>
        <w:t>Шеметов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пояснил, что его доверитель вину в совершении инкриминируемого правонарушения не признает ввиду того,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освидетельствования на состояние алкогольного опьянения на месте он не отказывался, а потому у сотрудников ГАИ не было оснований для его направления для прохождения медицинского освидетельствования. </w:t>
      </w:r>
    </w:p>
    <w:p>
      <w:pPr>
        <w:spacing w:before="0" w:after="0"/>
        <w:ind w:firstLine="62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заслушав защитника,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26.2 КоАП РФ доказательствами по делу являются любые фактические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данные, на основании которых устанавливают наличие или отсутствие события административного правонарушения, виновность лица, привлекаемого к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протоколами, предусмотренными КоАП РФ, объяснениями лица,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 которого ведется производство по делу об административном правонарушении, иными документами.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ст. 26.11 КоАП РФ судья, осуществляющий производство по делу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Никакие доказательства не могут иметь заранее установленную силу.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разъяснено в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2 п. 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Пленума Верховного Суда Российской Федерации от </w:t>
      </w:r>
      <w:r>
        <w:rPr>
          <w:rStyle w:val="cat-Dategrp-11rplc-3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 "О некоторых вопросах, возникающих у судов при применении Особенной части Кодекса Российской Федерации об административных правонарушениях", основанием привлечения к административной ответственности по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При рассмотрении дел об административных правонарушениях, предусмотренных нормами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1.1 ст. 27.12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подлежит освидетельствованию на состояние алкогольного опьянения в соответствии с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6 этой статьи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Правительства Российской Федерации от </w:t>
      </w:r>
      <w:r>
        <w:rPr>
          <w:rStyle w:val="cat-Dategrp-12rplc-3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1882 утверждены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Правила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и оформление его результатов, направления на медицинское освидетельствование на состояние опьянения (далее - Правила).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алкоголя изо рта; неустойчивость позы; нарушение речи; резкое изменение окраски кожных покровов лица; поведение, не соответствующее обстановке.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hyperlink r:id="rId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Пунктом 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предусмотрено,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 ст. 27.12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а также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правонарушении. Форма указанного протокола утверждается Министерством внутренних дел Российской Федерации по согласованию с Министерством здравоохранения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п. 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Пленума Верховного Суда РФ от </w:t>
      </w:r>
      <w:r>
        <w:rPr>
          <w:rStyle w:val="cat-Dategrp-13rplc-3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- о</w:t>
      </w:r>
      <w:r>
        <w:rPr>
          <w:rFonts w:ascii="Times New Roman" w:eastAsia="Times New Roman" w:hAnsi="Times New Roman" w:cs="Times New Roman"/>
          <w:sz w:val="27"/>
          <w:szCs w:val="27"/>
        </w:rPr>
        <w:t>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12" w:anchor="dst431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12.26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рассматриваемого правонарушения установлена и подтверждается совокупностью исследованных в судебном заседании следующих доказательств: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708960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9rplc-3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арточкой операции с ВУ;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реестром правонарушений;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инспектора ИАЗ ОБДПС Госавтоинспекции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ПК № 08</w:t>
      </w:r>
      <w:r>
        <w:rPr>
          <w:rFonts w:ascii="Times New Roman" w:eastAsia="Times New Roman" w:hAnsi="Times New Roman" w:cs="Times New Roman"/>
          <w:sz w:val="27"/>
          <w:szCs w:val="27"/>
        </w:rPr>
        <w:t>2530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исходя из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9rplc-4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5rplc-41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г. </w:t>
      </w:r>
      <w:r>
        <w:rPr>
          <w:rStyle w:val="cat-UserDefinedgrp-37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отстранен от управления транспортным средством </w:t>
      </w:r>
      <w:r>
        <w:rPr>
          <w:rStyle w:val="cat-UserDefinedgrp-38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7rplc-46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связи с наличием достаточных оснований полагать, что он управляет им в состоянии опьянения, признаки – </w:t>
      </w:r>
      <w:r>
        <w:rPr>
          <w:rFonts w:ascii="Times New Roman" w:eastAsia="Times New Roman" w:hAnsi="Times New Roman" w:cs="Times New Roman"/>
          <w:sz w:val="27"/>
          <w:szCs w:val="27"/>
        </w:rPr>
        <w:t>запах алкоголя изо 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СП № 08</w:t>
      </w:r>
      <w:r>
        <w:rPr>
          <w:rFonts w:ascii="Times New Roman" w:eastAsia="Times New Roman" w:hAnsi="Times New Roman" w:cs="Times New Roman"/>
          <w:sz w:val="27"/>
          <w:szCs w:val="27"/>
        </w:rPr>
        <w:t>6262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задержани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транспортного средства от </w:t>
      </w:r>
      <w:r>
        <w:rPr>
          <w:rStyle w:val="cat-Dategrp-9rplc-4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НП № 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48666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9rplc-4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связи с отказом от прохождения освидетельствования на состояние алкогольного опьянения в </w:t>
      </w:r>
      <w:r>
        <w:rPr>
          <w:rStyle w:val="cat-Timegrp-26rplc-50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9rplc-5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ст. 27.12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был направлен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для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медицинско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опьянения, пройти данное освидетельствование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отказался, о чем собственноручно указал в протоколе «отказываюсь»;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инспектора ДПС ОБ ДПС ГАИ УМВД России по г</w:t>
      </w:r>
      <w:r>
        <w:rPr>
          <w:rStyle w:val="cat-UserDefinedgrp-39rplc-5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5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диском с видеозаписью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которую суд обозрел в судебном заседании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205 на стационарном компьютере, в котором отражены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него </w:t>
      </w:r>
      <w:r>
        <w:rPr>
          <w:rFonts w:ascii="Times New Roman" w:eastAsia="Times New Roman" w:hAnsi="Times New Roman" w:cs="Times New Roman"/>
          <w:sz w:val="27"/>
          <w:szCs w:val="27"/>
        </w:rPr>
        <w:t>без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участия понятых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отстранен от управления транспортным средством должностным лицом, которому предоставлено право государственного надзора и контроля за безопасностью движения.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 отстранении от управления транспортным средством составлен протокол, в котором указаны дата, время, место, основания отстранения от управления,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Законность при применении мер административного принуждения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нарушена, права лица, в отношении которого ведется производство по делу об административном правонарушении, предусмотренные ст. 51 Конституции РФ и ст. 25.1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разъяснены, о чем свидетельствует в том числе просмотренная в судебном заседании видеозапись.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Достоверность имеющейся в материалах дела видеозаписи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применения мер обеспечения производства по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В.В. </w:t>
      </w:r>
      <w:r>
        <w:rPr>
          <w:rFonts w:ascii="Times New Roman" w:eastAsia="Times New Roman" w:hAnsi="Times New Roman" w:cs="Times New Roman"/>
          <w:sz w:val="27"/>
          <w:szCs w:val="27"/>
        </w:rPr>
        <w:t>сомнений не вызывает, поскольку источник ее происхождения очевиден. Сведения о ведении видеозаписи, как средства фиксации совершенных процессуальных действий, отражены в процессуальных документах. Содержание видеозаписи в рассматриваемом случае обеспечивает визуальную идентификацию объектов и участников проводимых процессуальных действий, аудио фиксацию речи, отражает последовательность применения мер обеспечения производства по делу об административном правонарушении, соответствует иным, собранным по делу доказательствам (в том числе процессуальным документам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мировому судье сделать вывод о виновности привлекаемого 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доводам стороны защиты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не отказывался от прохождения освидетельствования на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месте мировой судья относится критически, поскольку они опровергаются как всей совокупностью исследованных в судебном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заседании письменных доказательств, указанных выше, так и видеозаписью, на которой зафиксировано поведение водителя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В.В., явно свидетельствующее о нежелании проходить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освидетельствование на состоянии алкогольного опьянения. Кроме того,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ст. 12.26 КоАП РФ, является формальным и оконченным с момента отказа водителя от выполнения законного требования уполномоченного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о прохождении медицинского освидетельствования для установления его состояния независимо от трезвого или нетрезвого состояния лица, управляющего транспортным средством.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 отказа водителя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от прохождения медицинского освидетельствования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данном конкретном </w:t>
      </w:r>
      <w:r>
        <w:rPr>
          <w:rFonts w:ascii="Times New Roman" w:eastAsia="Times New Roman" w:hAnsi="Times New Roman" w:cs="Times New Roman"/>
          <w:sz w:val="27"/>
          <w:szCs w:val="27"/>
        </w:rPr>
        <w:t>случае зафиксирован в том числе в протоколе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UserDefinedgrp-41rplc-6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каких-либо доказательств, свидетельствующих о наличии у него препятствий для выполнения требования сотрудника полиции, стороной защиты суду не представлено.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этой связи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как невыполнение водителем транспортного средства законного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требования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уполномоченного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 прохождении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опьянения, если такие действия не содержат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деяния.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Оснований для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освобождения от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прекращения производства по делу не имеется, равно как и отсутствуют обстоятельства, исключающие производство по делу об административном правонарушении и возможность рассмотрения дела.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является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</w:t>
      </w:r>
      <w:r>
        <w:rPr>
          <w:rFonts w:ascii="Times New Roman" w:eastAsia="Times New Roman" w:hAnsi="Times New Roman" w:cs="Times New Roman"/>
          <w:sz w:val="27"/>
          <w:szCs w:val="27"/>
        </w:rPr>
        <w:t>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наказания, принимая во внимание характер и степень общественной опасности совершенного административного правонарушения, обстоятельства дела,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целях предупреждения совершения новых правонарушений,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пределах, предусмотренных санкцией ч. 1 ст. 12.26 КоАП РФ, в виде административного штрафа с лишением права управления транспортными средствами на минимальный срок.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Федоришина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Владимира Васильевича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12.26 КоАП РФ и подвергнуть административному наказанию в виде административного штрафа в размере </w:t>
      </w:r>
      <w:r>
        <w:rPr>
          <w:rStyle w:val="cat-Sumgrp-20rplc-6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лишением права управления транспортными средствами на 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7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УФК по Ханты-Мансийскому 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7"/>
          <w:szCs w:val="27"/>
        </w:rPr>
        <w:t>ИНН 8601010390,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КПП 860101001;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р/с №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КБК 18811601123010001140;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 007162163,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71876000,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18810486260320006962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 либо направить на </w:t>
      </w:r>
      <w:r>
        <w:rPr>
          <w:rFonts w:ascii="Times New Roman" w:eastAsia="Times New Roman" w:hAnsi="Times New Roman" w:cs="Times New Roman"/>
          <w:sz w:val="27"/>
          <w:szCs w:val="27"/>
        </w:rPr>
        <w:t>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Федоришину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месту своего жительства.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footerReference w:type="default" r:id="rId1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54556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UserDefinedgrp-36rplc-6">
    <w:name w:val="cat-UserDefined grp-36 rplc-6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Timegrp-24rplc-16">
    <w:name w:val="cat-Time grp-24 rplc-16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CarNumbergrp-27rplc-22">
    <w:name w:val="cat-CarNumber grp-27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Dategrp-9rplc-37">
    <w:name w:val="cat-Date grp-9 rplc-37"/>
    <w:basedOn w:val="DefaultParagraphFont"/>
  </w:style>
  <w:style w:type="character" w:customStyle="1" w:styleId="cat-Dategrp-9rplc-38">
    <w:name w:val="cat-Date grp-9 rplc-38"/>
    <w:basedOn w:val="DefaultParagraphFont"/>
  </w:style>
  <w:style w:type="character" w:customStyle="1" w:styleId="cat-Dategrp-9rplc-40">
    <w:name w:val="cat-Date grp-9 rplc-40"/>
    <w:basedOn w:val="DefaultParagraphFont"/>
  </w:style>
  <w:style w:type="character" w:customStyle="1" w:styleId="cat-Timegrp-25rplc-41">
    <w:name w:val="cat-Time grp-25 rplc-41"/>
    <w:basedOn w:val="DefaultParagraphFont"/>
  </w:style>
  <w:style w:type="character" w:customStyle="1" w:styleId="cat-UserDefinedgrp-37rplc-43">
    <w:name w:val="cat-UserDefined grp-37 rplc-43"/>
    <w:basedOn w:val="DefaultParagraphFont"/>
  </w:style>
  <w:style w:type="character" w:customStyle="1" w:styleId="cat-UserDefinedgrp-38rplc-45">
    <w:name w:val="cat-UserDefined grp-38 rplc-45"/>
    <w:basedOn w:val="DefaultParagraphFont"/>
  </w:style>
  <w:style w:type="character" w:customStyle="1" w:styleId="cat-CarNumbergrp-27rplc-46">
    <w:name w:val="cat-CarNumber grp-27 rplc-46"/>
    <w:basedOn w:val="DefaultParagraphFont"/>
  </w:style>
  <w:style w:type="character" w:customStyle="1" w:styleId="cat-Dategrp-9rplc-47">
    <w:name w:val="cat-Date grp-9 rplc-47"/>
    <w:basedOn w:val="DefaultParagraphFont"/>
  </w:style>
  <w:style w:type="character" w:customStyle="1" w:styleId="cat-Dategrp-9rplc-48">
    <w:name w:val="cat-Date grp-9 rplc-48"/>
    <w:basedOn w:val="DefaultParagraphFont"/>
  </w:style>
  <w:style w:type="character" w:customStyle="1" w:styleId="cat-Timegrp-26rplc-50">
    <w:name w:val="cat-Time grp-26 rplc-50"/>
    <w:basedOn w:val="DefaultParagraphFont"/>
  </w:style>
  <w:style w:type="character" w:customStyle="1" w:styleId="cat-Dategrp-9rplc-51">
    <w:name w:val="cat-Date grp-9 rplc-51"/>
    <w:basedOn w:val="DefaultParagraphFont"/>
  </w:style>
  <w:style w:type="character" w:customStyle="1" w:styleId="cat-UserDefinedgrp-39rplc-54">
    <w:name w:val="cat-UserDefined grp-39 rplc-54"/>
    <w:basedOn w:val="DefaultParagraphFont"/>
  </w:style>
  <w:style w:type="character" w:customStyle="1" w:styleId="cat-Dategrp-9rplc-55">
    <w:name w:val="cat-Date grp-9 rplc-55"/>
    <w:basedOn w:val="DefaultParagraphFont"/>
  </w:style>
  <w:style w:type="character" w:customStyle="1" w:styleId="cat-UserDefinedgrp-41rplc-63">
    <w:name w:val="cat-UserDefined grp-41 rplc-63"/>
    <w:basedOn w:val="DefaultParagraphFont"/>
  </w:style>
  <w:style w:type="character" w:customStyle="1" w:styleId="cat-Sumgrp-20rplc-69">
    <w:name w:val="cat-Sum grp-20 rplc-69"/>
    <w:basedOn w:val="DefaultParagraphFont"/>
  </w:style>
  <w:style w:type="character" w:customStyle="1" w:styleId="cat-UserDefinedgrp-40rplc-70">
    <w:name w:val="cat-UserDefined grp-40 rplc-7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0332A91F91D3BD311C2027A11529B300B77635C84F19B9041163DC8B67F901BBE3A62C841C2B464YAa2L" TargetMode="External" /><Relationship Id="rId11" Type="http://schemas.openxmlformats.org/officeDocument/2006/relationships/hyperlink" Target="consultantplus://offline/ref=A0332A91F91D3BD311C2027A11529B300B71665C8DFB9B9041163DC8B67F901BBE3A62C841C0B161YAa8L" TargetMode="External" /><Relationship Id="rId12" Type="http://schemas.openxmlformats.org/officeDocument/2006/relationships/hyperlink" Target="http://www.consultant.ru/document/cons_doc_LAW_359000/27b951a9ca374e6081930cfff85eabd581a523b1/" TargetMode="External" /><Relationship Id="rId13" Type="http://schemas.openxmlformats.org/officeDocument/2006/relationships/hyperlink" Target="garantF1://1205770.100232" TargetMode="External" /><Relationship Id="rId14" Type="http://schemas.openxmlformats.org/officeDocument/2006/relationships/hyperlink" Target="garantF1://12082530.130114" TargetMode="External" /><Relationship Id="rId15" Type="http://schemas.openxmlformats.org/officeDocument/2006/relationships/hyperlink" Target="garantF1://12061120.1000" TargetMode="External" /><Relationship Id="rId16" Type="http://schemas.openxmlformats.org/officeDocument/2006/relationships/hyperlink" Target="garantF1://10008000.264" TargetMode="External" /><Relationship Id="rId17" Type="http://schemas.openxmlformats.org/officeDocument/2006/relationships/footer" Target="footer1.xml" /><Relationship Id="rId18" Type="http://schemas.openxmlformats.org/officeDocument/2006/relationships/glossaryDocument" Target="glossary/document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consultantplus://offline/ref=A0332A91F91D3BD311C2027A11529B300B7663548BFD9B9041163DC8B67F901BBE3A62C841C2B46DYAa6L" TargetMode="External" /><Relationship Id="rId6" Type="http://schemas.openxmlformats.org/officeDocument/2006/relationships/hyperlink" Target="consultantplus://offline/ref=A0332A91F91D3BD311C2027A11529B300B71665C8DFB9B9041163DC8B67F901BBE3A62CD42C3YBaDL" TargetMode="External" /><Relationship Id="rId7" Type="http://schemas.openxmlformats.org/officeDocument/2006/relationships/hyperlink" Target="consultantplus://offline/ref=A0332A91F91D3BD311C2027A11529B300B71665C8DFB9B9041163DC8B67F901BBE3A62CD42C4YBa2L" TargetMode="External" /><Relationship Id="rId8" Type="http://schemas.openxmlformats.org/officeDocument/2006/relationships/hyperlink" Target="consultantplus://offline/ref=A0332A91F91D3BD311C2027A11529B300B71665C8DFB9B9041163DC8B67F901BBE3A62CC41YCa2L" TargetMode="External" /><Relationship Id="rId9" Type="http://schemas.openxmlformats.org/officeDocument/2006/relationships/hyperlink" Target="consultantplus://offline/ref=A0332A91F91D3BD311C2027A11529B300B77635C84F19B9041163DC8B67F901BBE3A62C841C2B464YAa5L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7DCC-CC88-49E2-B3F4-CAD19D1B9B2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